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</w:pPr>
    </w:p>
    <w:p>
      <w:pPr>
        <w:jc w:val="center"/>
      </w:pPr>
      <w:r>
        <w:rPr>
          <w:rFonts w:ascii="Segoe UI Light" w:cs="Segoe UI Light" w:eastAsia="Segoe UI Light" w:hAnsi="Segoe UI Light"/>
          <w:color w:val="0078D4"/>
          <w:sz w:val="64"/>
          <w:szCs w:val="64"/>
        </w:rPr>
        <w:t xml:space="preserve">DATA CLASSIFICATION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323130"/>
          <w:sz w:val="52"/>
          <w:szCs w:val="52"/>
        </w:rPr>
        <w:t xml:space="preserve">GUIDELINES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4"/>
          <w:szCs w:val="24"/>
        </w:rPr>
        <w:t xml:space="preserve">Classification Levels • Healthcare Data • PII • PHI • Controls</w:t>
      </w:r>
    </w:p>
    <w:p>
      <w:pPr>
        <w:spacing w:before="2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2"/>
          <w:szCs w:val="22"/>
        </w:rPr>
        <w:t xml:space="preserve">Version 1.0  |  January 2026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1. Classification Framework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Data classification is the foundation of data protection. Proper classification ensures appropriate security controls are applied based on data sensitivity and regulatory requirements.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1.1 Classification Levels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4300"/>
        <w:gridCol w:w="2860"/>
      </w:tblGrid>
      <w:tr>
        <w:tc>
          <w:tcPr>
            <w:tcW w:type="dxa" w:w="22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Level</w:t>
            </w:r>
          </w:p>
        </w:tc>
        <w:tc>
          <w:tcPr>
            <w:tcW w:type="dxa" w:w="43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Example</w:t>
            </w:r>
          </w:p>
        </w:tc>
      </w:tr>
      <w:tr>
        <w:tc>
          <w:tcPr>
            <w:tcW w:type="dxa" w:w="22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Public</w:t>
            </w:r>
          </w:p>
        </w:tc>
        <w:tc>
          <w:tcPr>
            <w:tcW w:type="dxa" w:w="43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No restrictions, publicly available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Marketing content</w:t>
            </w:r>
          </w:p>
        </w:tc>
      </w:tr>
      <w:tr>
        <w:tc>
          <w:tcPr>
            <w:tcW w:type="dxa" w:w="22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Internal</w:t>
            </w:r>
          </w:p>
        </w:tc>
        <w:tc>
          <w:tcPr>
            <w:tcW w:type="dxa" w:w="43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Internal use, low risk if disclosed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Org charts, policies</w:t>
            </w:r>
          </w:p>
        </w:tc>
      </w:tr>
      <w:tr>
        <w:tc>
          <w:tcPr>
            <w:tcW w:type="dxa" w:w="22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Confidential</w:t>
            </w:r>
          </w:p>
        </w:tc>
        <w:tc>
          <w:tcPr>
            <w:tcW w:type="dxa" w:w="43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Business sensitive, moderate risk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Financial reports</w:t>
            </w:r>
          </w:p>
        </w:tc>
      </w:tr>
      <w:tr>
        <w:tc>
          <w:tcPr>
            <w:tcW w:type="dxa" w:w="22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Highly Conf.</w:t>
            </w:r>
          </w:p>
        </w:tc>
        <w:tc>
          <w:tcPr>
            <w:tcW w:type="dxa" w:w="43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Regulated data, high risk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PHI, PII, SSN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1.2 Classification Criteria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Regulatory requirements (HIPAA, GDPR, PCI)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Business impact of unauthorized disclosure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Data subject sensitivity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Contractual obligations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Reputational risk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2. Healthcare Data Categories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2.1 PHI (Protected Health Information)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Any individually identifiable health information under HIPAA.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PHI Identifiers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Names, addresses, dates (except year)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Phone numbers, email addresses, SSN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Medical record numbers, account numbers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Health plan beneficiary numbers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Biometric identifiers, photos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Any unique identifying number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2.2 Common Healthcare Data Elements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000"/>
        <w:gridCol w:w="3860"/>
      </w:tblGrid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Data Element</w:t>
            </w:r>
          </w:p>
        </w:tc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Classification</w:t>
            </w:r>
          </w:p>
        </w:tc>
        <w:tc>
          <w:tcPr>
            <w:tcW w:type="dxa" w:w="3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Controls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Member SSN</w:t>
            </w:r>
          </w:p>
        </w:tc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Highly Conf.</w:t>
            </w:r>
          </w:p>
        </w:tc>
        <w:tc>
          <w:tcPr>
            <w:tcW w:type="dxa" w:w="3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Mask, encrypt, RLS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Member Name + DOB</w:t>
            </w:r>
          </w:p>
        </w:tc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Highly Conf.</w:t>
            </w:r>
          </w:p>
        </w:tc>
        <w:tc>
          <w:tcPr>
            <w:tcW w:type="dxa" w:w="3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RLS, audit logging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Diagnosis Codes (with ID)</w:t>
            </w:r>
          </w:p>
        </w:tc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Highly Conf.</w:t>
            </w:r>
          </w:p>
        </w:tc>
        <w:tc>
          <w:tcPr>
            <w:tcW w:type="dxa" w:w="3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RLS, encryption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Claim Amount</w:t>
            </w:r>
          </w:p>
        </w:tc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Confidential</w:t>
            </w:r>
          </w:p>
        </w:tc>
        <w:tc>
          <w:tcPr>
            <w:tcW w:type="dxa" w:w="3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RLS by role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Provider NPI</w:t>
            </w:r>
          </w:p>
        </w:tc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Internal</w:t>
            </w:r>
          </w:p>
        </w:tc>
        <w:tc>
          <w:tcPr>
            <w:tcW w:type="dxa" w:w="3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Access control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Procedure Codes (no ID)</w:t>
            </w:r>
          </w:p>
        </w:tc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Internal</w:t>
            </w:r>
          </w:p>
        </w:tc>
        <w:tc>
          <w:tcPr>
            <w:tcW w:type="dxa" w:w="3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Standard access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3. Security Controls by Classification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3.1 Highly Confidential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Encryption at rest and in transit (mandatory)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Row-level security with dynamic filtering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Column masking for sensitive fields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Detailed audit logging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Access approval workflow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Regular access certification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Data loss prevention (DLP) policies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3.2 Confidential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Encryption at rest and in transit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Row-level security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Role-based access control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Audit logging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Access review quarterly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3.3 Internal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Encryption at rest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Workspace-level access control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Standard audit logging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Access review annually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3.4 Public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Standard authentication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Basic access logging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4. Implementation in Fabric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4.1 Sensitivity Labels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Configure Microsoft Purview sensitivity labels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Apply labels to Fabric items automatically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Labels inherit from source data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Labels flow to exports and reports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4.2 Data Masking Patterns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500"/>
        <w:gridCol w:w="33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Data Type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Masking Pattern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Example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SSN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XXX-XX-{last 4}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XXX-XX-1234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Email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First letter + XXX@domain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jXXX@email.com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Phone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(XXX) XXX-{last 4}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(XXX) XXX-5678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Name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First initial + asterisks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J*** S***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DOB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Year only or age range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1985 or 35-40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4.3 Lakehouse Implementation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Bronze: Raw data with full classification tags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Silver: Cleansed data, masking applied where needed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Gold: Business-ready, RLS and masking enforced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Views for masked access to sensitive columns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5. Compliance Mapping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5.1 HIPAA Requirements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Access control: RLS, workspace roles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Audit controls: Activity logging, monitoring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Transmission security: TLS encryption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Integrity controls: Delta Lake ACID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Person authentication: Azure AD + MFA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5.2 GDPR Requirements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Lawful basis: Documented in data catalog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Data minimization: Column selection, aggregation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Right to erasure: Soft delete patterns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Data portability: Export capabilities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Privacy by design: Masking, encryption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5.3 PCI-DSS (if applicable)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Cardholder data isolation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Strong access control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Encryption requirements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Logging and monitoring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6. Best Practices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6.1 Classification Guidelines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Classify at the column level, not just table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Apply highest classification if data is combined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Document classification decisions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Review classifications periodically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Train data owners on classification criteria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6.2 Implementation Checklist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Data inventory completed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Classification assigned to all data elements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Sensitivity labels configured in Purview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RLS implemented for classified data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Masking applied to Highly Confidential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Audit logging enabled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☐ Access review process established</w:t>
      </w:r>
    </w:p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 Classification Guidelines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January 2026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78D4" w:sz="6"/>
      </w:pBdr>
      <w:spacing w:before="100"/>
      <w:jc w:val="center"/>
    </w:pPr>
    <w:r>
      <w:rPr>
        <w:rFonts w:ascii="Segoe UI" w:cs="Segoe UI" w:eastAsia="Segoe UI" w:hAnsi="Segoe UI"/>
        <w:color w:val="605E5C"/>
        <w:sz w:val="18"/>
        <w:szCs w:val="18"/>
      </w:rPr>
      <w:t xml:space="preserve">Page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605E5C"/>
        <w:sz w:val="18"/>
        <w:szCs w:val="18"/>
      </w:rPr>
      <w:t xml:space="preserve"> of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605E5C"/>
        <w:sz w:val="18"/>
        <w:szCs w:val="18"/>
      </w:rPr>
      <w:t xml:space="preserve">Data Classification Guidelines  |  </w:t>
    </w:r>
    <w:r>
      <w:rPr>
        <w:rFonts w:ascii="Segoe UI" w:cs="Segoe UI" w:eastAsia="Segoe UI" w:hAnsi="Segoe UI"/>
        <w:b/>
        <w:bCs/>
        <w:color w:val="F25022"/>
        <w:sz w:val="18"/>
        <w:szCs w:val="18"/>
      </w:rPr>
      <w:t xml:space="preserve">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0078D4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06EBE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40" w:after="120"/>
      <w:outlineLvl w:val="2"/>
    </w:pPr>
    <w:rPr>
      <w:rFonts w:ascii="Segoe UI" w:cs="Segoe UI" w:eastAsia="Segoe UI" w:hAnsi="Segoe UI"/>
      <w:b/>
      <w:bCs/>
      <w:color w:val="32313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2026-01-09T04:43:35.619Z</dcterms:created>
  <dcterms:modified xsi:type="dcterms:W3CDTF">2026-01-09T04:43:35.619Z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